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B" w:rsidRDefault="00B3432B" w:rsidP="00B3432B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>
        <w:rPr>
          <w:rFonts w:ascii="Century Gothic" w:hAnsi="Century Gothic"/>
          <w:noProof/>
        </w:rPr>
        <w:drawing>
          <wp:inline distT="0" distB="0" distL="0" distR="0" wp14:anchorId="348F35A0" wp14:editId="75090154">
            <wp:extent cx="1095375" cy="1019175"/>
            <wp:effectExtent l="0" t="0" r="9525" b="9525"/>
            <wp:docPr id="1" name="Immagine 1" descr="cid:image001.jpg@01D50A52.BA3AA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0A52.BA3AA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2B" w:rsidRDefault="00B3432B" w:rsidP="00B3432B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  <w:sz w:val="28"/>
          <w:szCs w:val="28"/>
        </w:rPr>
      </w:pPr>
    </w:p>
    <w:p w:rsidR="00B3432B" w:rsidRDefault="00B3432B" w:rsidP="00B3432B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</w:p>
    <w:p w:rsidR="00B3432B" w:rsidRDefault="00B3432B" w:rsidP="00B3432B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  <w:r>
        <w:rPr>
          <w:rFonts w:ascii="Century Gothic" w:hAnsi="Century Gothic" w:cstheme="majorHAnsi"/>
          <w:bCs/>
          <w:sz w:val="28"/>
          <w:szCs w:val="28"/>
        </w:rPr>
        <w:t>POMPEII THEATRUM MUNDI 2019</w:t>
      </w:r>
    </w:p>
    <w:p w:rsidR="00B3432B" w:rsidRDefault="00B3432B" w:rsidP="00B3432B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  <w:sz w:val="8"/>
          <w:szCs w:val="8"/>
        </w:rPr>
      </w:pPr>
    </w:p>
    <w:p w:rsidR="00B3432B" w:rsidRDefault="00B3432B" w:rsidP="00B3432B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  <w:r>
        <w:rPr>
          <w:rFonts w:ascii="Century Gothic" w:hAnsi="Century Gothic" w:cstheme="majorHAnsi"/>
          <w:bCs/>
          <w:sz w:val="28"/>
          <w:szCs w:val="28"/>
        </w:rPr>
        <w:t>Teatro Grande di Pompei</w:t>
      </w:r>
    </w:p>
    <w:p w:rsidR="00B3432B" w:rsidRDefault="00B3432B" w:rsidP="00B3432B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  <w:r>
        <w:rPr>
          <w:rFonts w:ascii="Century Gothic" w:hAnsi="Century Gothic" w:cstheme="majorHAnsi"/>
          <w:bCs/>
          <w:sz w:val="28"/>
          <w:szCs w:val="28"/>
        </w:rPr>
        <w:t>4, 5 e 6 luglio | ore 21.00</w:t>
      </w:r>
    </w:p>
    <w:p w:rsidR="00B3432B" w:rsidRPr="00B3432B" w:rsidRDefault="00B3432B" w:rsidP="00CC2AFA">
      <w:pPr>
        <w:rPr>
          <w:rFonts w:asciiTheme="majorHAnsi" w:hAnsiTheme="majorHAnsi" w:cstheme="majorHAnsi"/>
          <w:b/>
          <w:sz w:val="8"/>
          <w:szCs w:val="8"/>
        </w:rPr>
      </w:pPr>
    </w:p>
    <w:p w:rsidR="00CC2AFA" w:rsidRPr="00B3432B" w:rsidRDefault="00CC2AFA" w:rsidP="00B3432B">
      <w:pPr>
        <w:rPr>
          <w:rFonts w:ascii="Century Gothic" w:hAnsi="Century Gothic" w:cstheme="majorHAnsi"/>
          <w:b/>
          <w:i/>
          <w:sz w:val="28"/>
          <w:szCs w:val="28"/>
        </w:rPr>
      </w:pPr>
      <w:r w:rsidRPr="00B3432B">
        <w:rPr>
          <w:rFonts w:ascii="Century Gothic" w:hAnsi="Century Gothic" w:cstheme="majorHAnsi"/>
          <w:b/>
          <w:i/>
          <w:sz w:val="28"/>
          <w:szCs w:val="28"/>
        </w:rPr>
        <w:t>SATYRICON</w:t>
      </w:r>
    </w:p>
    <w:p w:rsidR="00CC2AFA" w:rsidRPr="00B3432B" w:rsidRDefault="00CC2AFA" w:rsidP="00B3432B">
      <w:pPr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</w:rPr>
        <w:t xml:space="preserve">di </w:t>
      </w:r>
      <w:r w:rsidRPr="00B3432B">
        <w:rPr>
          <w:rFonts w:ascii="Century Gothic" w:hAnsi="Century Gothic" w:cstheme="majorHAnsi"/>
          <w:b/>
        </w:rPr>
        <w:t>Francesco Piccolo</w:t>
      </w:r>
      <w:r w:rsidRPr="00B3432B">
        <w:rPr>
          <w:rFonts w:ascii="Century Gothic" w:hAnsi="Century Gothic" w:cstheme="majorHAnsi"/>
        </w:rPr>
        <w:t xml:space="preserve"> ispirato a Petronio</w:t>
      </w:r>
    </w:p>
    <w:p w:rsidR="00CC2AFA" w:rsidRP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</w:rPr>
        <w:t xml:space="preserve">regia </w:t>
      </w:r>
      <w:r w:rsidRPr="00B3432B">
        <w:rPr>
          <w:rFonts w:ascii="Century Gothic" w:hAnsi="Century Gothic" w:cstheme="majorHAnsi"/>
          <w:b/>
        </w:rPr>
        <w:t>Andrea De Rosa</w:t>
      </w:r>
    </w:p>
    <w:p w:rsidR="00CC2AFA" w:rsidRPr="00B3432B" w:rsidRDefault="00CC2AFA" w:rsidP="00B3432B">
      <w:pPr>
        <w:rPr>
          <w:rFonts w:ascii="Century Gothic" w:hAnsi="Century Gothic" w:cstheme="majorHAnsi"/>
          <w:sz w:val="8"/>
          <w:szCs w:val="8"/>
        </w:rPr>
      </w:pPr>
    </w:p>
    <w:p w:rsidR="00B3432B" w:rsidRDefault="00B3432B" w:rsidP="00B3432B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con</w:t>
      </w:r>
    </w:p>
    <w:p w:rsidR="00B3432B" w:rsidRDefault="00CC2AFA" w:rsidP="00B3432B">
      <w:pPr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  <w:b/>
        </w:rPr>
        <w:t>Noemi Apuzzo</w:t>
      </w:r>
      <w:r w:rsidRPr="00B3432B">
        <w:rPr>
          <w:rFonts w:ascii="Century Gothic" w:hAnsi="Century Gothic" w:cstheme="majorHAnsi"/>
        </w:rPr>
        <w:t xml:space="preserve"> (Fortunata), </w:t>
      </w:r>
      <w:r w:rsidRPr="00B3432B">
        <w:rPr>
          <w:rFonts w:ascii="Century Gothic" w:hAnsi="Century Gothic" w:cstheme="majorHAnsi"/>
          <w:b/>
        </w:rPr>
        <w:t>Alessandra Borgia</w:t>
      </w:r>
      <w:r w:rsidR="00B3432B">
        <w:rPr>
          <w:rFonts w:ascii="Century Gothic" w:hAnsi="Century Gothic" w:cstheme="majorHAnsi"/>
        </w:rPr>
        <w:t xml:space="preserve"> (La signora disperata)</w:t>
      </w:r>
    </w:p>
    <w:p w:rsid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  <w:b/>
        </w:rPr>
        <w:t>Francesca Cutolo</w:t>
      </w:r>
      <w:r w:rsidR="00B3432B">
        <w:rPr>
          <w:rFonts w:ascii="Century Gothic" w:hAnsi="Century Gothic" w:cstheme="majorHAnsi"/>
        </w:rPr>
        <w:t xml:space="preserve"> (L</w:t>
      </w:r>
      <w:r w:rsidRPr="00B3432B">
        <w:rPr>
          <w:rFonts w:ascii="Century Gothic" w:hAnsi="Century Gothic" w:cstheme="majorHAnsi"/>
        </w:rPr>
        <w:t xml:space="preserve">a donna delle canzoni), </w:t>
      </w:r>
      <w:r w:rsidRPr="00B3432B">
        <w:rPr>
          <w:rFonts w:ascii="Century Gothic" w:hAnsi="Century Gothic" w:cstheme="majorHAnsi"/>
          <w:b/>
        </w:rPr>
        <w:t>Michelangelo Dalisi</w:t>
      </w:r>
      <w:r w:rsidR="00B3432B">
        <w:rPr>
          <w:rFonts w:ascii="Century Gothic" w:hAnsi="Century Gothic" w:cstheme="majorHAnsi"/>
        </w:rPr>
        <w:t xml:space="preserve"> (L</w:t>
      </w:r>
      <w:r w:rsidRPr="00B3432B">
        <w:rPr>
          <w:rFonts w:ascii="Century Gothic" w:hAnsi="Century Gothic" w:cstheme="majorHAnsi"/>
        </w:rPr>
        <w:t>’intellettuale)</w:t>
      </w:r>
    </w:p>
    <w:p w:rsid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  <w:b/>
        </w:rPr>
        <w:t>Flavio Francucci</w:t>
      </w:r>
      <w:r w:rsidRPr="00B3432B">
        <w:rPr>
          <w:rFonts w:ascii="Century Gothic" w:hAnsi="Century Gothic" w:cstheme="majorHAnsi"/>
        </w:rPr>
        <w:t xml:space="preserve"> (Encolpio),</w:t>
      </w:r>
      <w:r w:rsidRPr="00B3432B">
        <w:rPr>
          <w:rFonts w:ascii="Century Gothic" w:hAnsi="Century Gothic" w:cstheme="majorHAnsi"/>
          <w:b/>
        </w:rPr>
        <w:t xml:space="preserve"> Antonino Iuorio</w:t>
      </w:r>
      <w:r w:rsidRPr="00B3432B">
        <w:rPr>
          <w:rFonts w:ascii="Century Gothic" w:hAnsi="Century Gothic" w:cstheme="majorHAnsi"/>
        </w:rPr>
        <w:t xml:space="preserve"> (Trimalcione)</w:t>
      </w:r>
    </w:p>
    <w:p w:rsid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  <w:b/>
        </w:rPr>
        <w:t xml:space="preserve">Serena Mazzei </w:t>
      </w:r>
      <w:r w:rsidR="00B3432B">
        <w:rPr>
          <w:rFonts w:ascii="Century Gothic" w:hAnsi="Century Gothic" w:cstheme="majorHAnsi"/>
        </w:rPr>
        <w:t>(L</w:t>
      </w:r>
      <w:r w:rsidRPr="00B3432B">
        <w:rPr>
          <w:rFonts w:ascii="Century Gothic" w:hAnsi="Century Gothic" w:cstheme="majorHAnsi"/>
        </w:rPr>
        <w:t xml:space="preserve">a ragazza anoressica), </w:t>
      </w:r>
      <w:r w:rsidRPr="00B3432B">
        <w:rPr>
          <w:rFonts w:ascii="Century Gothic" w:hAnsi="Century Gothic" w:cstheme="majorHAnsi"/>
          <w:b/>
        </w:rPr>
        <w:t>Lorenzo Parrotto</w:t>
      </w:r>
      <w:r w:rsidRPr="00B3432B">
        <w:rPr>
          <w:rFonts w:ascii="Century Gothic" w:hAnsi="Century Gothic" w:cstheme="majorHAnsi"/>
        </w:rPr>
        <w:t xml:space="preserve"> (Ascilto)</w:t>
      </w:r>
    </w:p>
    <w:p w:rsidR="00CC2AFA" w:rsidRP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  <w:b/>
        </w:rPr>
        <w:t>Anna Redi</w:t>
      </w:r>
      <w:r w:rsidR="00B3432B">
        <w:rPr>
          <w:rFonts w:ascii="Century Gothic" w:hAnsi="Century Gothic" w:cstheme="majorHAnsi"/>
        </w:rPr>
        <w:t xml:space="preserve"> (L’</w:t>
      </w:r>
      <w:r w:rsidRPr="00B3432B">
        <w:rPr>
          <w:rFonts w:ascii="Century Gothic" w:hAnsi="Century Gothic" w:cstheme="majorHAnsi"/>
        </w:rPr>
        <w:t>attrice impegnata),</w:t>
      </w:r>
      <w:r w:rsidRPr="00B3432B">
        <w:rPr>
          <w:rFonts w:ascii="Century Gothic" w:hAnsi="Century Gothic" w:cstheme="majorHAnsi"/>
          <w:b/>
        </w:rPr>
        <w:t xml:space="preserve"> Andrea Volpetti</w:t>
      </w:r>
      <w:r w:rsidRPr="00B3432B">
        <w:rPr>
          <w:rFonts w:ascii="Century Gothic" w:hAnsi="Century Gothic" w:cstheme="majorHAnsi"/>
        </w:rPr>
        <w:t xml:space="preserve"> (Gitone)</w:t>
      </w:r>
    </w:p>
    <w:p w:rsidR="00CC2AFA" w:rsidRPr="00B3432B" w:rsidRDefault="00CC2AFA" w:rsidP="00B3432B">
      <w:pPr>
        <w:rPr>
          <w:rFonts w:ascii="Century Gothic" w:eastAsia="Times New Roman" w:hAnsi="Century Gothic" w:cstheme="majorHAnsi"/>
          <w:color w:val="000000"/>
          <w:sz w:val="8"/>
          <w:szCs w:val="8"/>
          <w:lang w:eastAsia="it-IT"/>
        </w:rPr>
      </w:pPr>
    </w:p>
    <w:p w:rsidR="00CC2AFA" w:rsidRPr="00B3432B" w:rsidRDefault="00CC2AFA" w:rsidP="00B3432B">
      <w:pPr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</w:rPr>
        <w:t xml:space="preserve">scene e costumi </w:t>
      </w:r>
      <w:r w:rsidRPr="00B3432B">
        <w:rPr>
          <w:rFonts w:ascii="Century Gothic" w:hAnsi="Century Gothic" w:cstheme="majorHAnsi"/>
          <w:b/>
        </w:rPr>
        <w:t>Simone Mannino</w:t>
      </w:r>
    </w:p>
    <w:p w:rsidR="00CC2AFA" w:rsidRP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</w:rPr>
        <w:t xml:space="preserve">disegno luci </w:t>
      </w:r>
      <w:r w:rsidRPr="00B3432B">
        <w:rPr>
          <w:rFonts w:ascii="Century Gothic" w:hAnsi="Century Gothic" w:cstheme="majorHAnsi"/>
          <w:b/>
        </w:rPr>
        <w:t>Pasquale Mari</w:t>
      </w:r>
    </w:p>
    <w:p w:rsidR="00CC2AFA" w:rsidRP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</w:rPr>
        <w:t xml:space="preserve">sound designer </w:t>
      </w:r>
      <w:r w:rsidRPr="00B3432B">
        <w:rPr>
          <w:rFonts w:ascii="Century Gothic" w:hAnsi="Century Gothic" w:cstheme="majorHAnsi"/>
          <w:b/>
        </w:rPr>
        <w:t>G.U.P. Alcaro</w:t>
      </w:r>
    </w:p>
    <w:p w:rsidR="00CC2AFA" w:rsidRPr="00B3432B" w:rsidRDefault="00CC2AFA" w:rsidP="00B3432B">
      <w:pPr>
        <w:rPr>
          <w:rFonts w:ascii="Century Gothic" w:hAnsi="Century Gothic" w:cstheme="majorHAnsi"/>
          <w:sz w:val="8"/>
          <w:szCs w:val="8"/>
        </w:rPr>
      </w:pPr>
    </w:p>
    <w:p w:rsidR="00B3432B" w:rsidRDefault="00CC2AFA" w:rsidP="00B3432B">
      <w:pPr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</w:rPr>
        <w:t>produzi</w:t>
      </w:r>
      <w:r w:rsidR="00B3432B">
        <w:rPr>
          <w:rFonts w:ascii="Century Gothic" w:hAnsi="Century Gothic" w:cstheme="majorHAnsi"/>
        </w:rPr>
        <w:t>one</w:t>
      </w:r>
    </w:p>
    <w:p w:rsidR="00B3432B" w:rsidRDefault="00B3432B" w:rsidP="00B3432B">
      <w:pPr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Teatro Stabile Napoli-Teatro Nazionale</w:t>
      </w:r>
    </w:p>
    <w:p w:rsidR="00B3432B" w:rsidRDefault="00B3432B" w:rsidP="00B3432B">
      <w:pPr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Teatro di Roma-Teatro Nazionale</w:t>
      </w:r>
    </w:p>
    <w:p w:rsidR="00CC2AFA" w:rsidRPr="00B3432B" w:rsidRDefault="00CC2AFA" w:rsidP="00B3432B">
      <w:pPr>
        <w:rPr>
          <w:rFonts w:ascii="Century Gothic" w:hAnsi="Century Gothic" w:cstheme="majorHAnsi"/>
          <w:b/>
        </w:rPr>
      </w:pPr>
      <w:r w:rsidRPr="00B3432B">
        <w:rPr>
          <w:rFonts w:ascii="Century Gothic" w:hAnsi="Century Gothic" w:cstheme="majorHAnsi"/>
          <w:b/>
        </w:rPr>
        <w:t>Fon</w:t>
      </w:r>
      <w:r w:rsidR="00B3432B">
        <w:rPr>
          <w:rFonts w:ascii="Century Gothic" w:hAnsi="Century Gothic" w:cstheme="majorHAnsi"/>
          <w:b/>
        </w:rPr>
        <w:t>dazione Campania dei Festival–</w:t>
      </w:r>
      <w:r w:rsidRPr="00B3432B">
        <w:rPr>
          <w:rFonts w:ascii="Century Gothic" w:hAnsi="Century Gothic" w:cstheme="majorHAnsi"/>
          <w:b/>
        </w:rPr>
        <w:t>Napoli Teatro Festival Italia</w:t>
      </w:r>
    </w:p>
    <w:p w:rsidR="00CC2AFA" w:rsidRPr="00B3432B" w:rsidRDefault="00CC2AFA" w:rsidP="00B3432B">
      <w:pPr>
        <w:jc w:val="center"/>
        <w:rPr>
          <w:rFonts w:ascii="Century Gothic" w:hAnsi="Century Gothic" w:cstheme="majorHAnsi"/>
          <w:sz w:val="8"/>
          <w:szCs w:val="8"/>
        </w:rPr>
      </w:pPr>
    </w:p>
    <w:p w:rsidR="00B3432B" w:rsidRPr="00B3432B" w:rsidRDefault="00B3432B" w:rsidP="00B3432B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  <w:i/>
        </w:rPr>
      </w:pPr>
      <w:r w:rsidRPr="00B3432B">
        <w:rPr>
          <w:rFonts w:ascii="Century Gothic" w:hAnsi="Century Gothic" w:cstheme="majorHAnsi"/>
          <w:i/>
        </w:rPr>
        <w:t>prima assoluta</w:t>
      </w:r>
    </w:p>
    <w:p w:rsidR="00B3432B" w:rsidRDefault="00B3432B" w:rsidP="00B3432B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</w:rPr>
      </w:pPr>
    </w:p>
    <w:p w:rsidR="00B3432B" w:rsidRDefault="00CC2AFA" w:rsidP="00B3432B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</w:rPr>
        <w:t>Nel 66 d.C moriva Petronio Arbitro, maestro di buon gusto</w:t>
      </w:r>
      <w:r w:rsidR="00B3432B">
        <w:rPr>
          <w:rFonts w:ascii="Century Gothic" w:hAnsi="Century Gothic" w:cstheme="majorHAnsi"/>
        </w:rPr>
        <w:t xml:space="preserve"> alla corte di Nerone, </w:t>
      </w:r>
      <w:r w:rsidR="009D2F59">
        <w:rPr>
          <w:rFonts w:ascii="Century Gothic" w:hAnsi="Century Gothic" w:cstheme="majorHAnsi"/>
        </w:rPr>
        <w:t xml:space="preserve">perchè </w:t>
      </w:r>
      <w:r w:rsidR="00B3432B">
        <w:rPr>
          <w:rFonts w:ascii="Century Gothic" w:hAnsi="Century Gothic" w:cstheme="majorHAnsi"/>
        </w:rPr>
        <w:t>travolto</w:t>
      </w:r>
      <w:r w:rsidR="009D2F59">
        <w:rPr>
          <w:rFonts w:ascii="Century Gothic" w:hAnsi="Century Gothic" w:cstheme="majorHAnsi"/>
        </w:rPr>
        <w:t xml:space="preserve"> </w:t>
      </w:r>
      <w:bookmarkStart w:id="0" w:name="_GoBack"/>
      <w:bookmarkEnd w:id="0"/>
      <w:r w:rsidRPr="00B3432B">
        <w:rPr>
          <w:rFonts w:ascii="Century Gothic" w:hAnsi="Century Gothic" w:cstheme="majorHAnsi"/>
        </w:rPr>
        <w:t xml:space="preserve">dalla repressione di una congiura alla quale sembra non avesse partecipato. Tradizionalmente si attribuisce a lui il romanzo noto come </w:t>
      </w:r>
      <w:r w:rsidRPr="00B3432B">
        <w:rPr>
          <w:rFonts w:ascii="Century Gothic" w:hAnsi="Century Gothic" w:cstheme="majorHAnsi"/>
          <w:i/>
        </w:rPr>
        <w:t>Satyricon</w:t>
      </w:r>
      <w:r w:rsidRPr="00B3432B">
        <w:rPr>
          <w:rFonts w:ascii="Century Gothic" w:hAnsi="Century Gothic" w:cstheme="majorHAnsi"/>
        </w:rPr>
        <w:t xml:space="preserve">, pervenutoci in forma frammentaria e noto al grande pubblico soprattutto per la geniale (e libera) rilettura di </w:t>
      </w:r>
      <w:r w:rsidR="00B3432B">
        <w:rPr>
          <w:rFonts w:ascii="Century Gothic" w:hAnsi="Century Gothic" w:cstheme="majorHAnsi"/>
        </w:rPr>
        <w:t>Federico Fellini.</w:t>
      </w:r>
    </w:p>
    <w:p w:rsidR="00B3432B" w:rsidRDefault="00CC2AFA" w:rsidP="00B3432B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</w:rPr>
        <w:t>Un mix di sorprendenti brandelli narrativi, tra sesso, strani riti, naufragi, risse, speculazioni d'arte, truffe ben congegnate e licantropi, tra i quali spicca qualche porzione più ampia come la celeberrima, sci</w:t>
      </w:r>
      <w:r w:rsidR="00B3432B">
        <w:rPr>
          <w:rFonts w:ascii="Century Gothic" w:hAnsi="Century Gothic" w:cstheme="majorHAnsi"/>
        </w:rPr>
        <w:t>ntillante Cena di Trimalcione.</w:t>
      </w:r>
    </w:p>
    <w:p w:rsidR="00B3432B" w:rsidRDefault="00CC2AFA" w:rsidP="00B3432B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</w:rPr>
        <w:t>Andrea De Rosa lo trasforma in teatro affidandosi alla penna di Francesco Piccolo che così descrive il s</w:t>
      </w:r>
      <w:r w:rsidR="00B3432B">
        <w:rPr>
          <w:rFonts w:ascii="Century Gothic" w:hAnsi="Century Gothic" w:cstheme="majorHAnsi"/>
        </w:rPr>
        <w:t>uo approccio alla riscrittura: «</w:t>
      </w:r>
      <w:r w:rsidRPr="00B3432B">
        <w:rPr>
          <w:rFonts w:ascii="Century Gothic" w:hAnsi="Century Gothic" w:cstheme="majorHAnsi"/>
        </w:rPr>
        <w:t>La decadenza di Roma, l’opulenza disperata, la c</w:t>
      </w:r>
      <w:r w:rsidR="00B3432B">
        <w:rPr>
          <w:rFonts w:ascii="Century Gothic" w:hAnsi="Century Gothic" w:cstheme="majorHAnsi"/>
        </w:rPr>
        <w:t>orruzione, il mecenatismo un po’</w:t>
      </w:r>
      <w:r w:rsidRPr="00B3432B">
        <w:rPr>
          <w:rFonts w:ascii="Century Gothic" w:hAnsi="Century Gothic" w:cstheme="majorHAnsi"/>
        </w:rPr>
        <w:t xml:space="preserve"> burino. Le feste, le cene. Tutto questo è stato già raccontato da Petronio ed è pe</w:t>
      </w:r>
      <w:r w:rsidR="00B3432B">
        <w:rPr>
          <w:rFonts w:ascii="Century Gothic" w:hAnsi="Century Gothic" w:cstheme="majorHAnsi"/>
        </w:rPr>
        <w:t>rò ancora tutto da raccontare.</w:t>
      </w:r>
    </w:p>
    <w:p w:rsidR="00CC2AFA" w:rsidRPr="00B3432B" w:rsidRDefault="00CC2AFA" w:rsidP="00B3432B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</w:rPr>
      </w:pPr>
      <w:r w:rsidRPr="00B3432B">
        <w:rPr>
          <w:rFonts w:ascii="Century Gothic" w:hAnsi="Century Gothic" w:cstheme="majorHAnsi"/>
        </w:rPr>
        <w:t xml:space="preserve">Provare a riscrivere e rendere contemporaneo il </w:t>
      </w:r>
      <w:r w:rsidRPr="00B3432B">
        <w:rPr>
          <w:rFonts w:ascii="Century Gothic" w:hAnsi="Century Gothic" w:cstheme="majorHAnsi"/>
          <w:i/>
        </w:rPr>
        <w:t>Satyricon</w:t>
      </w:r>
      <w:r w:rsidRPr="00B3432B">
        <w:rPr>
          <w:rFonts w:ascii="Century Gothic" w:hAnsi="Century Gothic" w:cstheme="majorHAnsi"/>
        </w:rPr>
        <w:t>, usando i tic linguistici della mondanità decadente di oggi, è sia elettrizzante sia in qualche modo natu</w:t>
      </w:r>
      <w:r w:rsidR="00B3432B">
        <w:rPr>
          <w:rFonts w:ascii="Century Gothic" w:hAnsi="Century Gothic" w:cstheme="majorHAnsi"/>
        </w:rPr>
        <w:t>rale. Insomma, bisogna provarci</w:t>
      </w:r>
      <w:r w:rsidRPr="00B3432B">
        <w:rPr>
          <w:rFonts w:ascii="Century Gothic" w:hAnsi="Century Gothic" w:cstheme="majorHAnsi"/>
        </w:rPr>
        <w:t>.</w:t>
      </w:r>
      <w:r w:rsidR="00B3432B">
        <w:rPr>
          <w:rFonts w:ascii="Century Gothic" w:hAnsi="Century Gothic" w:cstheme="majorHAnsi"/>
        </w:rPr>
        <w:t>»</w:t>
      </w:r>
      <w:r w:rsidRPr="00B3432B">
        <w:rPr>
          <w:rFonts w:ascii="Century Gothic" w:hAnsi="Century Gothic" w:cstheme="majorHAnsi"/>
        </w:rPr>
        <w:t xml:space="preserve"> </w:t>
      </w:r>
    </w:p>
    <w:p w:rsidR="0079399C" w:rsidRPr="00B3432B" w:rsidRDefault="0079399C" w:rsidP="00B3432B">
      <w:pPr>
        <w:rPr>
          <w:rFonts w:ascii="Century Gothic" w:hAnsi="Century Gothic"/>
        </w:rPr>
      </w:pPr>
    </w:p>
    <w:sectPr w:rsidR="0079399C" w:rsidRPr="00B3432B" w:rsidSect="00B34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FA"/>
    <w:rsid w:val="0079399C"/>
    <w:rsid w:val="009D2F59"/>
    <w:rsid w:val="00B3432B"/>
    <w:rsid w:val="00C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24F1-FBBC-487F-9039-E81386C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A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2A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0A52.BA3AA8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2019-05-30T11:12:00Z</dcterms:created>
  <dcterms:modified xsi:type="dcterms:W3CDTF">2019-05-30T11:12:00Z</dcterms:modified>
</cp:coreProperties>
</file>