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BA" w:rsidRDefault="00CA5ABA" w:rsidP="00CA5ABA">
      <w:pPr>
        <w:spacing w:after="0" w:line="240" w:lineRule="auto"/>
        <w:jc w:val="center"/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2124A57B" wp14:editId="15ED1BEE">
            <wp:extent cx="3848100" cy="2164556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79" cy="218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BA" w:rsidRPr="00CA5ABA" w:rsidRDefault="00CA5ABA" w:rsidP="00CA5ABA">
      <w:pPr>
        <w:spacing w:after="0" w:line="240" w:lineRule="auto"/>
        <w:jc w:val="center"/>
        <w:rPr>
          <w:rFonts w:ascii="Century Gothic" w:eastAsia="Times New Roman" w:hAnsi="Century Gothic" w:cs="Courier New"/>
          <w:color w:val="000000" w:themeColor="text1"/>
          <w:sz w:val="16"/>
          <w:szCs w:val="16"/>
          <w:lang w:eastAsia="it-IT"/>
        </w:rPr>
      </w:pPr>
    </w:p>
    <w:p w:rsidR="00CA5ABA" w:rsidRPr="00566724" w:rsidRDefault="00CA5ABA" w:rsidP="00CA5ABA">
      <w:pPr>
        <w:jc w:val="center"/>
        <w:rPr>
          <w:rFonts w:ascii="Century Gothic" w:hAnsi="Century Gothic" w:cs="Arial"/>
          <w:noProof/>
          <w:color w:val="000000"/>
          <w:sz w:val="28"/>
          <w:szCs w:val="28"/>
          <w:lang w:eastAsia="it-IT"/>
        </w:rPr>
      </w:pPr>
      <w:r w:rsidRPr="00566724">
        <w:rPr>
          <w:rFonts w:ascii="Century Gothic" w:hAnsi="Century Gothic" w:cs="Arial"/>
          <w:noProof/>
          <w:color w:val="000000"/>
          <w:sz w:val="28"/>
          <w:szCs w:val="28"/>
          <w:lang w:eastAsia="it-IT"/>
        </w:rPr>
        <w:t>TEATRO GRANDE PARCO ARCHEOLOGICO di POMPEI</w:t>
      </w:r>
    </w:p>
    <w:p w:rsidR="00CA5ABA" w:rsidRDefault="00CA5ABA" w:rsidP="00CA5ABA">
      <w:pPr>
        <w:spacing w:after="0" w:line="240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</w:pPr>
      <w:r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>Teatro Grande di Pompei 29 e 30 giugno |ore 21.00</w:t>
      </w:r>
    </w:p>
    <w:p w:rsidR="00CA5ABA" w:rsidRDefault="00CA5ABA" w:rsidP="00CA5ABA">
      <w:pPr>
        <w:spacing w:after="0" w:line="240" w:lineRule="auto"/>
        <w:jc w:val="both"/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</w:pPr>
      <w:r w:rsidRPr="00CA5ABA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OH THE BELIEVE IN ANOTHER WORLD</w:t>
      </w:r>
    </w:p>
    <w:p w:rsidR="00CA5ABA" w:rsidRPr="00CA5ABA" w:rsidRDefault="00CA5ABA" w:rsidP="00CA5ABA">
      <w:pPr>
        <w:spacing w:after="0" w:line="240" w:lineRule="auto"/>
        <w:jc w:val="both"/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</w:pPr>
      <w:r w:rsidRPr="00CA5ABA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</w:t>
      </w:r>
      <w:r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 xml:space="preserve"> William Kentridge</w:t>
      </w:r>
    </w:p>
    <w:p w:rsidR="00CA5ABA" w:rsidRDefault="00CA5ABA" w:rsidP="00F7264B">
      <w:pPr>
        <w:spacing w:after="0" w:line="240" w:lineRule="auto"/>
        <w:jc w:val="both"/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 w:rsidRPr="00CA5ABA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Sinfonia N. 10 </w:t>
      </w:r>
      <w:r w:rsidRPr="002067EE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</w:t>
      </w:r>
      <w:r w:rsidRPr="00CA5ABA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Dmitrij Šostakovič</w:t>
      </w:r>
    </w:p>
    <w:p w:rsidR="00CA5ABA" w:rsidRDefault="00CA5ABA" w:rsidP="00F7264B">
      <w:pPr>
        <w:spacing w:after="0" w:line="240" w:lineRule="auto"/>
        <w:jc w:val="both"/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03312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eseguita da</w:t>
      </w:r>
      <w:r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CA5ABA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Luzerner Sinfonieorchester</w:t>
      </w:r>
      <w:r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03312E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diretta da</w:t>
      </w:r>
      <w:r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Michael Sanderling</w:t>
      </w:r>
    </w:p>
    <w:p w:rsidR="00F7264B" w:rsidRPr="00F7264B" w:rsidRDefault="00F42048" w:rsidP="00F7264B">
      <w:pPr>
        <w:pStyle w:val="PreformattatoHTML"/>
        <w:rPr>
          <w:rFonts w:ascii="Century Gothic" w:hAnsi="Century Gothic" w:cs="Arial"/>
          <w:color w:val="202124"/>
          <w:sz w:val="24"/>
          <w:szCs w:val="24"/>
        </w:rPr>
      </w:pPr>
      <w:r>
        <w:rPr>
          <w:rFonts w:ascii="Century Gothic" w:hAnsi="Century Gothic" w:cs="Arial"/>
          <w:color w:val="202124"/>
          <w:sz w:val="24"/>
          <w:szCs w:val="24"/>
        </w:rPr>
        <w:t>p</w:t>
      </w:r>
      <w:r w:rsidR="00F7264B" w:rsidRPr="00F7264B">
        <w:rPr>
          <w:rFonts w:ascii="Century Gothic" w:hAnsi="Century Gothic" w:cs="Arial"/>
          <w:color w:val="202124"/>
          <w:sz w:val="24"/>
          <w:szCs w:val="24"/>
        </w:rPr>
        <w:t xml:space="preserve">rogetto avviato e commissionato dalla </w:t>
      </w:r>
      <w:r w:rsidR="00F7264B" w:rsidRPr="00F7264B">
        <w:rPr>
          <w:rFonts w:ascii="Century Gothic" w:hAnsi="Century Gothic" w:cs="Arial"/>
          <w:b/>
          <w:color w:val="202124"/>
          <w:sz w:val="24"/>
          <w:szCs w:val="24"/>
        </w:rPr>
        <w:t>Luzerner Sinfonieorchester</w:t>
      </w:r>
    </w:p>
    <w:p w:rsidR="00F7264B" w:rsidRPr="00F7264B" w:rsidRDefault="00F7264B" w:rsidP="00F7264B">
      <w:pPr>
        <w:pStyle w:val="PreformattatoHTML"/>
        <w:rPr>
          <w:rFonts w:ascii="Century Gothic" w:hAnsi="Century Gothic" w:cs="Arial"/>
          <w:color w:val="202124"/>
          <w:sz w:val="24"/>
          <w:szCs w:val="24"/>
        </w:rPr>
      </w:pPr>
      <w:r w:rsidRPr="00F7264B">
        <w:rPr>
          <w:rFonts w:ascii="Century Gothic" w:hAnsi="Century Gothic" w:cs="Arial"/>
          <w:color w:val="202124"/>
          <w:sz w:val="24"/>
          <w:szCs w:val="24"/>
        </w:rPr>
        <w:t>res</w:t>
      </w:r>
      <w:r>
        <w:rPr>
          <w:rFonts w:ascii="Century Gothic" w:hAnsi="Century Gothic" w:cs="Arial"/>
          <w:color w:val="202124"/>
          <w:sz w:val="24"/>
          <w:szCs w:val="24"/>
        </w:rPr>
        <w:t>o</w:t>
      </w:r>
      <w:r w:rsidRPr="00F7264B">
        <w:rPr>
          <w:rFonts w:ascii="Century Gothic" w:hAnsi="Century Gothic" w:cs="Arial"/>
          <w:color w:val="202124"/>
          <w:sz w:val="24"/>
          <w:szCs w:val="24"/>
        </w:rPr>
        <w:t xml:space="preserve"> possibil</w:t>
      </w:r>
      <w:r>
        <w:rPr>
          <w:rFonts w:ascii="Century Gothic" w:hAnsi="Century Gothic" w:cs="Arial"/>
          <w:color w:val="202124"/>
          <w:sz w:val="24"/>
          <w:szCs w:val="24"/>
        </w:rPr>
        <w:t>e</w:t>
      </w:r>
      <w:r w:rsidRPr="00F7264B">
        <w:rPr>
          <w:rFonts w:ascii="Century Gothic" w:hAnsi="Century Gothic" w:cs="Arial"/>
          <w:color w:val="202124"/>
          <w:sz w:val="24"/>
          <w:szCs w:val="24"/>
        </w:rPr>
        <w:t xml:space="preserve"> da un contributo della </w:t>
      </w:r>
      <w:r w:rsidRPr="00F7264B">
        <w:rPr>
          <w:rFonts w:ascii="Century Gothic" w:hAnsi="Century Gothic" w:cs="Arial"/>
          <w:b/>
          <w:color w:val="202124"/>
          <w:sz w:val="24"/>
          <w:szCs w:val="24"/>
        </w:rPr>
        <w:t>Art Mentor Foundation Lucerna</w:t>
      </w:r>
    </w:p>
    <w:p w:rsidR="00CA5ABA" w:rsidRDefault="00CA5ABA" w:rsidP="00CA5ABA">
      <w:pPr>
        <w:spacing w:after="0" w:line="240" w:lineRule="auto"/>
        <w:jc w:val="both"/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</w:pPr>
    </w:p>
    <w:p w:rsidR="00736FB4" w:rsidRDefault="00421197" w:rsidP="00F7264B">
      <w:pPr>
        <w:spacing w:after="0" w:line="240" w:lineRule="auto"/>
        <w:jc w:val="both"/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</w:pP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L'artista sudafricano </w:t>
      </w:r>
      <w:r w:rsidRPr="00736FB4">
        <w:rPr>
          <w:rFonts w:ascii="Century Gothic" w:eastAsia="Times New Roman" w:hAnsi="Century Gothic" w:cs="Courier New"/>
          <w:b/>
          <w:color w:val="000000" w:themeColor="text1"/>
          <w:sz w:val="24"/>
          <w:szCs w:val="24"/>
          <w:lang w:eastAsia="it-IT"/>
        </w:rPr>
        <w:t>William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</w:t>
      </w:r>
      <w:r w:rsidRPr="00736FB4">
        <w:rPr>
          <w:rFonts w:ascii="Century Gothic" w:eastAsia="Times New Roman" w:hAnsi="Century Gothic" w:cs="Courier New"/>
          <w:b/>
          <w:color w:val="000000" w:themeColor="text1"/>
          <w:sz w:val="24"/>
          <w:szCs w:val="24"/>
          <w:lang w:eastAsia="it-IT"/>
        </w:rPr>
        <w:t>Kentridge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</w:t>
      </w:r>
      <w:r w:rsidR="00736FB4"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– </w:t>
      </w:r>
      <w:r w:rsidR="00736FB4" w:rsidRPr="00736FB4">
        <w:rPr>
          <w:rFonts w:ascii="Century Gothic" w:hAnsi="Century Gothic" w:cs="Arial"/>
          <w:color w:val="000000" w:themeColor="text1"/>
          <w:sz w:val="24"/>
          <w:szCs w:val="24"/>
        </w:rPr>
        <w:t xml:space="preserve">uno dei maggiori maestri contemporanei </w:t>
      </w:r>
      <w:r w:rsidR="00736FB4">
        <w:rPr>
          <w:rFonts w:ascii="Century Gothic" w:hAnsi="Century Gothic" w:cs="Arial"/>
          <w:color w:val="000000" w:themeColor="text1"/>
          <w:sz w:val="24"/>
          <w:szCs w:val="24"/>
        </w:rPr>
        <w:t xml:space="preserve">la cui arte </w:t>
      </w:r>
      <w:r w:rsidR="00736FB4" w:rsidRPr="00736FB4">
        <w:rPr>
          <w:rFonts w:ascii="Century Gothic" w:hAnsi="Century Gothic" w:cs="Arial"/>
          <w:color w:val="000000" w:themeColor="text1"/>
          <w:sz w:val="24"/>
          <w:szCs w:val="24"/>
        </w:rPr>
        <w:t xml:space="preserve">fonde elementi onirici ed elementi storici per riflettere sul colonialismo, sullo sfruttamento, sul capitalismo </w:t>
      </w:r>
      <w:r w:rsidR="00736FB4">
        <w:rPr>
          <w:rFonts w:ascii="Century Gothic" w:hAnsi="Century Gothic" w:cs="Arial"/>
          <w:color w:val="000000" w:themeColor="text1"/>
          <w:sz w:val="24"/>
          <w:szCs w:val="24"/>
        </w:rPr>
        <w:t>–</w:t>
      </w:r>
      <w:r w:rsidR="00736FB4" w:rsidRPr="00736FB4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incaricato dalla </w:t>
      </w:r>
      <w:r w:rsidRPr="00736FB4">
        <w:rPr>
          <w:rFonts w:ascii="Century Gothic" w:hAnsi="Century Gothic"/>
          <w:b/>
          <w:bCs/>
          <w:color w:val="000000" w:themeColor="text1"/>
          <w:sz w:val="24"/>
          <w:szCs w:val="24"/>
          <w:lang w:val="fr-CH"/>
        </w:rPr>
        <w:t>Luzerner</w:t>
      </w:r>
      <w:r w:rsidR="00EF474A" w:rsidRPr="00736FB4">
        <w:rPr>
          <w:rFonts w:ascii="Century Gothic" w:hAnsi="Century Gothic"/>
          <w:b/>
          <w:bCs/>
          <w:color w:val="000000" w:themeColor="text1"/>
          <w:sz w:val="24"/>
          <w:szCs w:val="24"/>
          <w:lang w:val="fr-CH"/>
        </w:rPr>
        <w:t xml:space="preserve"> </w:t>
      </w:r>
      <w:r w:rsidRPr="00736FB4">
        <w:rPr>
          <w:rFonts w:ascii="Century Gothic" w:hAnsi="Century Gothic"/>
          <w:b/>
          <w:bCs/>
          <w:color w:val="000000" w:themeColor="text1"/>
          <w:sz w:val="24"/>
          <w:szCs w:val="24"/>
          <w:lang w:val="fr-CH"/>
        </w:rPr>
        <w:t>Sinfonieorchester</w:t>
      </w:r>
      <w:r w:rsidR="00736FB4">
        <w:rPr>
          <w:rFonts w:ascii="Century Gothic" w:hAnsi="Century Gothic"/>
          <w:b/>
          <w:bCs/>
          <w:color w:val="000000" w:themeColor="text1"/>
          <w:sz w:val="24"/>
          <w:szCs w:val="24"/>
          <w:lang w:val="fr-CH"/>
        </w:rPr>
        <w:t xml:space="preserve"> </w:t>
      </w:r>
      <w:r w:rsidR="00736FB4" w:rsidRPr="00736FB4">
        <w:rPr>
          <w:rFonts w:ascii="Century Gothic" w:hAnsi="Century Gothic"/>
          <w:bCs/>
          <w:color w:val="000000" w:themeColor="text1"/>
          <w:sz w:val="24"/>
          <w:szCs w:val="24"/>
          <w:lang w:val="fr-CH"/>
        </w:rPr>
        <w:t>(Lucerna)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di creare un film basato sulla Sinfonia N° 10 di </w:t>
      </w:r>
      <w:r w:rsidR="00EF474A" w:rsidRPr="00CA5ABA">
        <w:rPr>
          <w:rFonts w:ascii="Century Gothic" w:hAnsi="Century Gothic" w:cstheme="minorHAnsi"/>
          <w:b/>
          <w:bCs/>
          <w:color w:val="000000" w:themeColor="text1"/>
          <w:sz w:val="24"/>
          <w:szCs w:val="24"/>
          <w:lang w:eastAsia="it-IT"/>
        </w:rPr>
        <w:t>Dmitrij Šostakovič</w:t>
      </w:r>
      <w:r w:rsid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, </w:t>
      </w:r>
      <w:r w:rsidR="00F42048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ha </w:t>
      </w:r>
      <w:r w:rsid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>realizza</w:t>
      </w:r>
      <w:r w:rsidR="00F42048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>to</w:t>
      </w:r>
      <w:r w:rsid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</w:t>
      </w:r>
      <w:r w:rsidR="00736FB4" w:rsidRPr="00F7264B">
        <w:rPr>
          <w:rFonts w:ascii="Century Gothic" w:hAnsi="Century Gothic" w:cstheme="minorHAnsi"/>
          <w:b/>
          <w:i/>
          <w:color w:val="000000"/>
          <w:sz w:val="24"/>
          <w:szCs w:val="24"/>
          <w:lang w:eastAsia="it-IT"/>
        </w:rPr>
        <w:t xml:space="preserve">OH THE BELIEVE IN ANOTHER WORLD, </w:t>
      </w:r>
      <w:r w:rsidR="00736FB4" w:rsidRPr="00F7264B">
        <w:rPr>
          <w:rFonts w:ascii="Century Gothic" w:hAnsi="Century Gothic" w:cstheme="minorHAnsi"/>
          <w:b/>
          <w:bCs/>
          <w:i/>
          <w:color w:val="000000"/>
          <w:sz w:val="24"/>
          <w:szCs w:val="24"/>
          <w:lang w:eastAsia="it-IT"/>
        </w:rPr>
        <w:t xml:space="preserve">Sinfonia N. 10 </w:t>
      </w:r>
      <w:r w:rsidR="00736FB4" w:rsidRPr="00F7264B">
        <w:rPr>
          <w:rFonts w:ascii="Century Gothic" w:hAnsi="Century Gothic" w:cstheme="minorHAnsi"/>
          <w:b/>
          <w:i/>
          <w:color w:val="000000"/>
          <w:sz w:val="24"/>
          <w:szCs w:val="24"/>
          <w:lang w:eastAsia="it-IT"/>
        </w:rPr>
        <w:t>di</w:t>
      </w:r>
      <w:r w:rsidR="00736FB4" w:rsidRPr="00F7264B">
        <w:rPr>
          <w:rFonts w:ascii="Century Gothic" w:hAnsi="Century Gothic" w:cstheme="minorHAnsi"/>
          <w:b/>
          <w:bCs/>
          <w:i/>
          <w:color w:val="000000"/>
          <w:sz w:val="24"/>
          <w:szCs w:val="24"/>
          <w:lang w:eastAsia="it-IT"/>
        </w:rPr>
        <w:t xml:space="preserve"> Dmitrij Šostakovič</w:t>
      </w:r>
      <w:r w:rsidR="00736FB4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, </w:t>
      </w:r>
      <w:r w:rsidR="00736FB4" w:rsidRPr="0003312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eseguita dalla</w:t>
      </w:r>
      <w:r w:rsidR="00736FB4"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2067EE" w:rsidRPr="00CA5ABA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Luzerner Sinfonieorchester</w:t>
      </w:r>
      <w:r w:rsidR="002067EE"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736FB4" w:rsidRPr="0003312E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diretta da</w:t>
      </w:r>
      <w:r w:rsidR="00736FB4"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Michael Sanderling</w:t>
      </w:r>
      <w:r w:rsid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>.</w:t>
      </w:r>
    </w:p>
    <w:p w:rsidR="00421197" w:rsidRPr="00F7264B" w:rsidRDefault="00736FB4" w:rsidP="00F7264B">
      <w:pPr>
        <w:pStyle w:val="PreformattatoHTML"/>
        <w:jc w:val="both"/>
        <w:rPr>
          <w:rFonts w:ascii="Century Gothic" w:hAnsi="Century Gothic" w:cs="Arial"/>
          <w:color w:val="202124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Dopo </w:t>
      </w:r>
      <w:r w:rsidR="00F7264B">
        <w:rPr>
          <w:rFonts w:ascii="Century Gothic" w:hAnsi="Century Gothic" w:cs="Arial"/>
          <w:color w:val="202124"/>
          <w:sz w:val="24"/>
          <w:szCs w:val="24"/>
        </w:rPr>
        <w:t>l</w:t>
      </w:r>
      <w:r w:rsidR="00F7264B" w:rsidRPr="00F7264B">
        <w:rPr>
          <w:rFonts w:ascii="Century Gothic" w:hAnsi="Century Gothic" w:cs="Arial"/>
          <w:color w:val="202124"/>
          <w:sz w:val="24"/>
          <w:szCs w:val="24"/>
        </w:rPr>
        <w:t xml:space="preserve">a prima mondiale </w:t>
      </w:r>
      <w:r w:rsidR="00F7264B">
        <w:rPr>
          <w:rFonts w:ascii="Century Gothic" w:hAnsi="Century Gothic" w:cs="Arial"/>
          <w:color w:val="202124"/>
          <w:sz w:val="24"/>
          <w:szCs w:val="24"/>
        </w:rPr>
        <w:t xml:space="preserve">del </w:t>
      </w:r>
      <w:r w:rsidR="00F7264B" w:rsidRPr="00F7264B">
        <w:rPr>
          <w:rFonts w:ascii="Century Gothic" w:hAnsi="Century Gothic" w:cs="Arial"/>
          <w:color w:val="202124"/>
          <w:sz w:val="24"/>
          <w:szCs w:val="24"/>
        </w:rPr>
        <w:t>15 giugno 2022 al KKL di Lucerna</w:t>
      </w:r>
      <w:r w:rsidR="00F7264B">
        <w:rPr>
          <w:rFonts w:ascii="Century Gothic" w:hAnsi="Century Gothic" w:cs="Arial"/>
          <w:color w:val="202124"/>
          <w:sz w:val="24"/>
          <w:szCs w:val="24"/>
        </w:rPr>
        <w:t xml:space="preserve">, </w:t>
      </w:r>
      <w:r>
        <w:rPr>
          <w:rFonts w:ascii="Century Gothic" w:hAnsi="Century Gothic"/>
          <w:color w:val="000000" w:themeColor="text1"/>
          <w:sz w:val="24"/>
          <w:szCs w:val="24"/>
        </w:rPr>
        <w:t>l’opera</w:t>
      </w:r>
      <w:r w:rsidR="0062230E">
        <w:rPr>
          <w:rFonts w:ascii="Century Gothic" w:hAnsi="Century Gothic"/>
          <w:color w:val="000000" w:themeColor="text1"/>
          <w:sz w:val="24"/>
          <w:szCs w:val="24"/>
        </w:rPr>
        <w:t xml:space="preserve"> appr</w:t>
      </w:r>
      <w:r w:rsidR="00F7264B">
        <w:rPr>
          <w:rFonts w:ascii="Century Gothic" w:hAnsi="Century Gothic"/>
          <w:color w:val="000000" w:themeColor="text1"/>
          <w:sz w:val="24"/>
          <w:szCs w:val="24"/>
        </w:rPr>
        <w:t>oda</w:t>
      </w:r>
      <w:r w:rsidR="0062230E">
        <w:rPr>
          <w:rFonts w:ascii="Century Gothic" w:hAnsi="Century Gothic"/>
          <w:color w:val="000000" w:themeColor="text1"/>
          <w:sz w:val="24"/>
          <w:szCs w:val="24"/>
        </w:rPr>
        <w:t xml:space="preserve"> in prima italiana </w:t>
      </w:r>
      <w:r w:rsidR="00EF474A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al Teatro Grande del Parco Archeologico di Pompei </w:t>
      </w:r>
      <w:r w:rsidR="0062230E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tra gli </w:t>
      </w:r>
      <w:r w:rsidR="00EF474A">
        <w:rPr>
          <w:rFonts w:ascii="Century Gothic" w:hAnsi="Century Gothic" w:cstheme="minorHAnsi"/>
          <w:bCs/>
          <w:color w:val="000000"/>
          <w:sz w:val="24"/>
          <w:szCs w:val="24"/>
        </w:rPr>
        <w:t>event</w:t>
      </w:r>
      <w:r w:rsidR="0062230E">
        <w:rPr>
          <w:rFonts w:ascii="Century Gothic" w:hAnsi="Century Gothic" w:cstheme="minorHAnsi"/>
          <w:bCs/>
          <w:color w:val="000000"/>
          <w:sz w:val="24"/>
          <w:szCs w:val="24"/>
        </w:rPr>
        <w:t>i</w:t>
      </w:r>
      <w:r w:rsidR="00EF474A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di punta </w:t>
      </w:r>
      <w:r w:rsidR="0062230E">
        <w:rPr>
          <w:rFonts w:ascii="Century Gothic" w:hAnsi="Century Gothic" w:cstheme="minorHAnsi"/>
          <w:bCs/>
          <w:color w:val="000000"/>
          <w:sz w:val="24"/>
          <w:szCs w:val="24"/>
        </w:rPr>
        <w:t>d</w:t>
      </w:r>
      <w:r w:rsidR="002067EE">
        <w:rPr>
          <w:rFonts w:ascii="Century Gothic" w:hAnsi="Century Gothic" w:cstheme="minorHAnsi"/>
          <w:bCs/>
          <w:color w:val="000000"/>
          <w:sz w:val="24"/>
          <w:szCs w:val="24"/>
        </w:rPr>
        <w:t>ella rassegna</w:t>
      </w:r>
      <w:r w:rsidR="0062230E">
        <w:rPr>
          <w:rFonts w:ascii="Century Gothic" w:hAnsi="Century Gothic" w:cstheme="minorHAnsi"/>
          <w:bCs/>
          <w:color w:val="000000"/>
          <w:sz w:val="24"/>
          <w:szCs w:val="24"/>
        </w:rPr>
        <w:t>.</w:t>
      </w:r>
      <w:r w:rsidR="00F7264B">
        <w:rPr>
          <w:rFonts w:ascii="Century Gothic" w:hAnsi="Century Gothic" w:cstheme="minorHAnsi"/>
          <w:bCs/>
          <w:color w:val="000000"/>
          <w:sz w:val="24"/>
          <w:szCs w:val="24"/>
        </w:rPr>
        <w:t xml:space="preserve"> </w:t>
      </w:r>
      <w:r w:rsidR="00421197" w:rsidRPr="00421197">
        <w:rPr>
          <w:rFonts w:ascii="Century Gothic" w:hAnsi="Century Gothic"/>
          <w:color w:val="202124"/>
          <w:sz w:val="24"/>
          <w:szCs w:val="24"/>
        </w:rPr>
        <w:t xml:space="preserve">Il 5 marzo 1953 morì il dittatore Stalin. Nell'estate e nell'autunno dello stesso anno, </w:t>
      </w:r>
      <w:r w:rsidR="00EF474A" w:rsidRPr="003F514F">
        <w:rPr>
          <w:rFonts w:ascii="Century Gothic" w:hAnsi="Century Gothic" w:cstheme="minorHAnsi"/>
          <w:bCs/>
          <w:color w:val="000000"/>
          <w:sz w:val="24"/>
          <w:szCs w:val="24"/>
        </w:rPr>
        <w:t>Šostakovič</w:t>
      </w:r>
      <w:r w:rsidR="00EF474A">
        <w:rPr>
          <w:rFonts w:ascii="Century Gothic" w:hAnsi="Century Gothic"/>
          <w:color w:val="202124"/>
          <w:sz w:val="24"/>
          <w:szCs w:val="24"/>
        </w:rPr>
        <w:t xml:space="preserve"> </w:t>
      </w:r>
      <w:r w:rsidR="00421197" w:rsidRPr="00421197">
        <w:rPr>
          <w:rFonts w:ascii="Century Gothic" w:hAnsi="Century Gothic"/>
          <w:color w:val="202124"/>
          <w:sz w:val="24"/>
          <w:szCs w:val="24"/>
        </w:rPr>
        <w:t>compose la sua decima sinfonia. Erano passati otto anni dal</w:t>
      </w:r>
      <w:r w:rsidR="00421197">
        <w:rPr>
          <w:rFonts w:ascii="Century Gothic" w:hAnsi="Century Gothic"/>
          <w:color w:val="202124"/>
          <w:sz w:val="24"/>
          <w:szCs w:val="24"/>
        </w:rPr>
        <w:t>la</w:t>
      </w:r>
      <w:r w:rsidR="00421197" w:rsidRPr="00421197">
        <w:rPr>
          <w:rFonts w:ascii="Century Gothic" w:hAnsi="Century Gothic"/>
          <w:color w:val="202124"/>
          <w:sz w:val="24"/>
          <w:szCs w:val="24"/>
        </w:rPr>
        <w:t xml:space="preserve"> non</w:t>
      </w:r>
      <w:r w:rsidR="00421197">
        <w:rPr>
          <w:rFonts w:ascii="Century Gothic" w:hAnsi="Century Gothic"/>
          <w:color w:val="202124"/>
          <w:sz w:val="24"/>
          <w:szCs w:val="24"/>
        </w:rPr>
        <w:t>a</w:t>
      </w:r>
      <w:r w:rsidR="00421197" w:rsidRPr="00421197">
        <w:rPr>
          <w:rFonts w:ascii="Century Gothic" w:hAnsi="Century Gothic"/>
          <w:color w:val="202124"/>
          <w:sz w:val="24"/>
          <w:szCs w:val="24"/>
        </w:rPr>
        <w:t>, e quindi il ritorno al genere sinfonico fu una decisione importante.</w:t>
      </w:r>
      <w:r w:rsidR="00CA5ABA">
        <w:rPr>
          <w:rFonts w:ascii="Century Gothic" w:hAnsi="Century Gothic"/>
          <w:color w:val="202124"/>
          <w:sz w:val="24"/>
          <w:szCs w:val="24"/>
        </w:rPr>
        <w:t xml:space="preserve"> </w:t>
      </w:r>
      <w:r w:rsidR="00421197" w:rsidRPr="00421197">
        <w:rPr>
          <w:rFonts w:ascii="Century Gothic" w:hAnsi="Century Gothic"/>
          <w:color w:val="202124"/>
          <w:sz w:val="24"/>
          <w:szCs w:val="24"/>
        </w:rPr>
        <w:t>L'intensità emotiva di questa sinfonia era corrispondentemente grande: una resa dei conti con lo stalinismo nel suo insieme e, specialmente nel secondo movimento, un grottesco ritratto musicale del tiranno.</w:t>
      </w:r>
    </w:p>
    <w:p w:rsidR="00CA5ABA" w:rsidRPr="00F7264B" w:rsidRDefault="00421197" w:rsidP="00CA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</w:pPr>
      <w:r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Distruzione e degrado umano determinano anche il terzo movimento, in cui </w:t>
      </w:r>
      <w:r w:rsidR="00EF474A" w:rsidRPr="003F514F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Šostakovič</w:t>
      </w:r>
      <w:r w:rsidR="00EF474A"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 </w:t>
      </w:r>
      <w:r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>intesse anche nelle sue iniziali D-Es-CH- segni inconfondibili della propria sofferenza sotto</w:t>
      </w:r>
      <w:r w:rsidR="00EF474A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 la </w:t>
      </w:r>
      <w:r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dittatura. Le reazioni "ufficiali" alla decima </w:t>
      </w:r>
      <w:r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Sinfonia </w:t>
      </w:r>
      <w:r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furono contrastanti in URSS; </w:t>
      </w:r>
      <w:r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>in Occidente</w:t>
      </w:r>
      <w:r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, invece, fu subito riconosciuta come una delle opere più importanti di </w:t>
      </w:r>
      <w:r w:rsidR="00EF474A" w:rsidRPr="003F514F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Šostakovič</w:t>
      </w:r>
      <w:r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>. Fino ad oggi non ha perso nulla della sua schiacciante efficacia.</w:t>
      </w:r>
    </w:p>
    <w:p w:rsidR="0062230E" w:rsidRPr="00F42048" w:rsidRDefault="0062230E" w:rsidP="00F7264B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62230E">
        <w:rPr>
          <w:rFonts w:ascii="Century Gothic" w:hAnsi="Century Gothic" w:cs="Arial"/>
          <w:color w:val="000000" w:themeColor="text1"/>
          <w:sz w:val="24"/>
          <w:szCs w:val="24"/>
        </w:rPr>
        <w:t>L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</w:rPr>
        <w:t>'artista sudafricano William Kentridge</w:t>
      </w:r>
      <w:r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2F0ED"/>
        </w:rPr>
        <w:t xml:space="preserve"> </w:t>
      </w:r>
      <w:r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(Johannesburg, 1955</w:t>
      </w:r>
      <w:r w:rsidRPr="0062230E">
        <w:rPr>
          <w:rFonts w:ascii="Century Gothic" w:hAnsi="Century Gothic" w:cs="Arial"/>
          <w:color w:val="000000" w:themeColor="text1"/>
          <w:sz w:val="24"/>
          <w:szCs w:val="24"/>
        </w:rPr>
        <w:t>)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r w:rsidRPr="0062230E">
        <w:rPr>
          <w:rFonts w:ascii="Century Gothic" w:hAnsi="Century Gothic" w:cs="Arial"/>
          <w:color w:val="000000" w:themeColor="text1"/>
          <w:sz w:val="24"/>
          <w:szCs w:val="24"/>
        </w:rPr>
        <w:t xml:space="preserve">è 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</w:rPr>
        <w:t>uno dei maggiori maestri contemporanei,</w:t>
      </w:r>
      <w:r w:rsidRPr="0062230E">
        <w:rPr>
          <w:rFonts w:ascii="Century Gothic" w:hAnsi="Century Gothic" w:cs="Arial"/>
          <w:color w:val="000000" w:themeColor="text1"/>
          <w:sz w:val="24"/>
          <w:szCs w:val="24"/>
        </w:rPr>
        <w:t xml:space="preserve"> la sua opera 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</w:rPr>
        <w:t>è ricca di riferimenti</w:t>
      </w:r>
      <w:r w:rsidR="00CA5ABA">
        <w:rPr>
          <w:rFonts w:ascii="Century Gothic" w:hAnsi="Century Gothic" w:cs="Arial"/>
          <w:color w:val="000000" w:themeColor="text1"/>
          <w:sz w:val="24"/>
          <w:szCs w:val="24"/>
        </w:rPr>
        <w:t>.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</w:rPr>
        <w:t> </w:t>
      </w:r>
      <w:r w:rsidR="00CA5ABA">
        <w:rPr>
          <w:rStyle w:val="Enfasigrassetto"/>
          <w:rFonts w:ascii="Century Gothic" w:hAnsi="Century Gothic" w:cs="Arial"/>
          <w:b w:val="0"/>
          <w:color w:val="000000" w:themeColor="text1"/>
          <w:sz w:val="24"/>
          <w:szCs w:val="24"/>
        </w:rPr>
        <w:t>C</w:t>
      </w:r>
      <w:r w:rsidR="003F514F" w:rsidRPr="0062230E">
        <w:rPr>
          <w:rStyle w:val="Enfasigrassetto"/>
          <w:rFonts w:ascii="Century Gothic" w:hAnsi="Century Gothic" w:cs="Arial"/>
          <w:b w:val="0"/>
          <w:color w:val="000000" w:themeColor="text1"/>
          <w:sz w:val="24"/>
          <w:szCs w:val="24"/>
        </w:rPr>
        <w:t>inem</w:t>
      </w:r>
      <w:r w:rsidR="003F514F" w:rsidRPr="0062230E">
        <w:rPr>
          <w:rStyle w:val="Enfasigrassetto"/>
          <w:rFonts w:ascii="Century Gothic" w:hAnsi="Century Gothic" w:cs="Arial"/>
          <w:b w:val="0"/>
          <w:color w:val="000000" w:themeColor="text1"/>
          <w:sz w:val="24"/>
          <w:szCs w:val="24"/>
          <w:shd w:val="clear" w:color="auto" w:fill="FFFFFF"/>
        </w:rPr>
        <w:t>a, letteratura, arte visiva, teatro</w:t>
      </w:r>
      <w:r w:rsidRPr="0062230E">
        <w:rPr>
          <w:rStyle w:val="Enfasigrassetto"/>
          <w:rFonts w:ascii="Century Gothic" w:hAnsi="Century Gothic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3F514F" w:rsidRPr="0062230E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ma</w:t>
      </w:r>
      <w:r w:rsidR="009D621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anche</w:t>
      </w:r>
      <w:r w:rsidR="003F514F" w:rsidRPr="0062230E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3F514F" w:rsidRPr="0062230E">
        <w:rPr>
          <w:rStyle w:val="Enfasigrassetto"/>
          <w:rFonts w:ascii="Century Gothic" w:hAnsi="Century Gothic" w:cs="Arial"/>
          <w:b w:val="0"/>
          <w:color w:val="000000" w:themeColor="text1"/>
          <w:sz w:val="24"/>
          <w:szCs w:val="24"/>
          <w:shd w:val="clear" w:color="auto" w:fill="FFFFFF"/>
        </w:rPr>
        <w:t>questioni sociali, storiche e politiche</w:t>
      </w:r>
      <w:r w:rsidR="003F514F" w:rsidRPr="0062230E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compongono il suo </w:t>
      </w:r>
      <w:r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variegato 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universo</w:t>
      </w:r>
      <w:r w:rsidR="00CA5ABA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creativo</w:t>
      </w:r>
      <w:r w:rsidR="003F514F"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.</w:t>
      </w:r>
      <w:r w:rsidR="002067E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Di recen</w:t>
      </w:r>
      <w:bookmarkStart w:id="0" w:name="_GoBack"/>
      <w:bookmarkEnd w:id="0"/>
      <w:r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te </w:t>
      </w:r>
      <w:r w:rsidR="009D621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Kentridge </w:t>
      </w:r>
      <w:r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ha dichiarato</w:t>
      </w: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:</w:t>
      </w:r>
      <w:r w:rsidRPr="0062230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«</w:t>
      </w:r>
      <w:r w:rsidRPr="00F42048">
        <w:rPr>
          <w:rFonts w:ascii="Century Gothic" w:hAnsi="Century Gothic" w:cs="Arial"/>
          <w:i/>
          <w:color w:val="000000" w:themeColor="text1"/>
          <w:sz w:val="24"/>
          <w:szCs w:val="24"/>
          <w:shd w:val="clear" w:color="auto" w:fill="FFFFFF"/>
        </w:rPr>
        <w:t>La situazione in cui ci troviamo non può essere lo stato finale del mondo; ci deve essere una condizione migliore per tutti, artisti compresi</w:t>
      </w:r>
      <w:r w:rsidRPr="00F42048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»</w:t>
      </w:r>
      <w:r w:rsidR="00F7264B" w:rsidRPr="00F42048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7264B" w:rsidRPr="00F7264B" w:rsidRDefault="00BB2EA6" w:rsidP="00F7264B">
      <w:pPr>
        <w:spacing w:after="0" w:line="240" w:lineRule="auto"/>
        <w:jc w:val="center"/>
        <w:rPr>
          <w:rFonts w:ascii="Century Gothic" w:hAnsi="Century Gothic" w:cs="Arial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CD8EFFD" wp14:editId="397B8D75">
            <wp:extent cx="4963750" cy="114300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hi Pompei_bianco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64B" w:rsidRPr="00F7264B" w:rsidSect="00CA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97"/>
    <w:rsid w:val="0003312E"/>
    <w:rsid w:val="001E0566"/>
    <w:rsid w:val="00204ADA"/>
    <w:rsid w:val="002067EE"/>
    <w:rsid w:val="00264A62"/>
    <w:rsid w:val="0036721D"/>
    <w:rsid w:val="003F514F"/>
    <w:rsid w:val="00421197"/>
    <w:rsid w:val="0062230E"/>
    <w:rsid w:val="00736FB4"/>
    <w:rsid w:val="009D6213"/>
    <w:rsid w:val="00BB2EA6"/>
    <w:rsid w:val="00CA5ABA"/>
    <w:rsid w:val="00EF474A"/>
    <w:rsid w:val="00F42048"/>
    <w:rsid w:val="00F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6224-B37E-4F48-8D13-867A4730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21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119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21197"/>
  </w:style>
  <w:style w:type="character" w:styleId="Enfasigrassetto">
    <w:name w:val="Strong"/>
    <w:basedOn w:val="Carpredefinitoparagrafo"/>
    <w:uiPriority w:val="22"/>
    <w:qFormat/>
    <w:rsid w:val="003F5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Sergio Marra</cp:lastModifiedBy>
  <cp:revision>13</cp:revision>
  <cp:lastPrinted>2022-04-19T13:19:00Z</cp:lastPrinted>
  <dcterms:created xsi:type="dcterms:W3CDTF">2022-04-16T12:50:00Z</dcterms:created>
  <dcterms:modified xsi:type="dcterms:W3CDTF">2022-04-19T15:38:00Z</dcterms:modified>
</cp:coreProperties>
</file>